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4A" w:rsidRPr="00EE2015" w:rsidRDefault="00C4334A" w:rsidP="00EE2015">
      <w:pPr>
        <w:spacing w:before="0" w:after="0"/>
        <w:ind w:left="0" w:firstLine="0"/>
        <w:jc w:val="right"/>
        <w:rPr>
          <w:rFonts w:ascii="High Tower Text" w:hAnsi="High Tower Text"/>
          <w:color w:val="1F497D"/>
          <w:sz w:val="28"/>
          <w:szCs w:val="28"/>
        </w:rPr>
      </w:pPr>
      <w:r w:rsidRPr="00EE2015">
        <w:rPr>
          <w:rFonts w:ascii="High Tower Text" w:hAnsi="High Tower Text"/>
          <w:color w:val="1F497D"/>
          <w:sz w:val="28"/>
          <w:szCs w:val="28"/>
        </w:rPr>
        <w:t xml:space="preserve">Public Workshop:  Co-located Chemical Sampling  </w:t>
      </w:r>
    </w:p>
    <w:p w:rsidR="00C4334A" w:rsidRPr="00EE2015" w:rsidRDefault="00C4334A" w:rsidP="00EE2015">
      <w:pPr>
        <w:spacing w:before="0" w:after="0"/>
        <w:ind w:left="0" w:firstLine="0"/>
        <w:jc w:val="right"/>
        <w:rPr>
          <w:color w:val="1F497D"/>
        </w:rPr>
      </w:pPr>
    </w:p>
    <w:p w:rsidR="00C4334A" w:rsidRPr="00EE2015" w:rsidRDefault="00C4334A" w:rsidP="00EE2015">
      <w:pPr>
        <w:spacing w:before="0" w:after="0"/>
        <w:ind w:left="0" w:firstLine="0"/>
        <w:jc w:val="right"/>
        <w:rPr>
          <w:color w:val="1F497D"/>
        </w:rPr>
      </w:pPr>
      <w:r w:rsidRPr="00EE2015">
        <w:rPr>
          <w:color w:val="1F497D"/>
        </w:rPr>
        <w:t>Tuesday, October 12, 2010, 1:00 – 4:00 p.m.</w:t>
      </w:r>
    </w:p>
    <w:p w:rsidR="00C4334A" w:rsidRPr="00EE2015" w:rsidRDefault="00C4334A" w:rsidP="00EE2015">
      <w:pPr>
        <w:pBdr>
          <w:bottom w:val="single" w:sz="4" w:space="1" w:color="auto"/>
        </w:pBdr>
        <w:spacing w:before="0" w:after="0"/>
        <w:ind w:left="0" w:firstLine="0"/>
        <w:jc w:val="right"/>
        <w:rPr>
          <w:color w:val="1F497D"/>
        </w:rPr>
      </w:pPr>
      <w:r w:rsidRPr="00EE2015">
        <w:rPr>
          <w:color w:val="1F497D"/>
        </w:rPr>
        <w:t xml:space="preserve">Radisson Inn, </w:t>
      </w:r>
      <w:smartTag w:uri="urn:schemas-microsoft-com:office:smarttags" w:element="State">
        <w:smartTag w:uri="urn:schemas-microsoft-com:office:smarttags" w:element="Street">
          <w:r>
            <w:rPr>
              <w:color w:val="1F497D"/>
            </w:rPr>
            <w:t>9777 Topanga Canyon Blvd</w:t>
          </w:r>
        </w:smartTag>
        <w:r w:rsidRPr="00EE2015">
          <w:rPr>
            <w:color w:val="1F497D"/>
          </w:rPr>
          <w:t xml:space="preserve">, </w:t>
        </w:r>
        <w:smartTag w:uri="urn:schemas-microsoft-com:office:smarttags" w:element="State">
          <w:r w:rsidRPr="00EE2015">
            <w:rPr>
              <w:color w:val="1F497D"/>
            </w:rPr>
            <w:t>Chatsworth</w:t>
          </w:r>
        </w:smartTag>
        <w:r w:rsidRPr="00EE2015">
          <w:rPr>
            <w:color w:val="1F497D"/>
          </w:rPr>
          <w:t xml:space="preserve">, </w:t>
        </w:r>
        <w:smartTag w:uri="urn:schemas-microsoft-com:office:smarttags" w:element="State">
          <w:r w:rsidRPr="00EE2015">
            <w:rPr>
              <w:color w:val="1F497D"/>
            </w:rPr>
            <w:t>California</w:t>
          </w:r>
        </w:smartTag>
      </w:smartTag>
      <w:r w:rsidRPr="00EE2015">
        <w:rPr>
          <w:color w:val="1F497D"/>
        </w:rPr>
        <w:t xml:space="preserve"> </w:t>
      </w:r>
    </w:p>
    <w:p w:rsidR="00C4334A" w:rsidRPr="00EE2015" w:rsidRDefault="00C4334A" w:rsidP="0024419D">
      <w:pPr>
        <w:spacing w:before="240" w:after="0"/>
        <w:ind w:left="0" w:firstLine="0"/>
        <w:rPr>
          <w:rFonts w:ascii="High Tower Text" w:hAnsi="High Tower Text"/>
          <w:color w:val="1F497D"/>
          <w:sz w:val="28"/>
          <w:szCs w:val="28"/>
        </w:rPr>
      </w:pPr>
      <w:r w:rsidRPr="00EE2015">
        <w:rPr>
          <w:rFonts w:ascii="High Tower Text" w:hAnsi="High Tower Text"/>
          <w:color w:val="1F497D"/>
          <w:sz w:val="28"/>
          <w:szCs w:val="28"/>
        </w:rPr>
        <w:t>Objectives</w:t>
      </w:r>
    </w:p>
    <w:p w:rsidR="00C4334A" w:rsidRDefault="00C4334A" w:rsidP="008064F7">
      <w:pPr>
        <w:pStyle w:val="ListParagraph"/>
        <w:numPr>
          <w:ilvl w:val="0"/>
          <w:numId w:val="1"/>
        </w:numPr>
        <w:contextualSpacing w:val="0"/>
      </w:pPr>
      <w:r>
        <w:t>Explain why DTSC and DOE agreed to include co-located soil sampling in the Agreement in Principle</w:t>
      </w:r>
    </w:p>
    <w:p w:rsidR="00C4334A" w:rsidRDefault="00C4334A" w:rsidP="008064F7">
      <w:pPr>
        <w:pStyle w:val="ListParagraph"/>
        <w:numPr>
          <w:ilvl w:val="0"/>
          <w:numId w:val="1"/>
        </w:numPr>
        <w:contextualSpacing w:val="0"/>
      </w:pPr>
      <w:r>
        <w:t>Review the purpose and objectives of the chemical soil sampling within Area IV and the Northern Buffer Zone</w:t>
      </w:r>
    </w:p>
    <w:p w:rsidR="00C4334A" w:rsidRDefault="00C4334A" w:rsidP="008064F7">
      <w:pPr>
        <w:pStyle w:val="ListParagraph"/>
        <w:numPr>
          <w:ilvl w:val="0"/>
          <w:numId w:val="1"/>
        </w:numPr>
        <w:contextualSpacing w:val="0"/>
      </w:pPr>
      <w:r>
        <w:t>Describe EPA’s approach to surface and sub-surface soil sampling and share planned locations for the first area to be sampled</w:t>
      </w:r>
    </w:p>
    <w:p w:rsidR="00C4334A" w:rsidRDefault="00C4334A" w:rsidP="008064F7">
      <w:pPr>
        <w:pStyle w:val="ListParagraph"/>
        <w:numPr>
          <w:ilvl w:val="0"/>
          <w:numId w:val="1"/>
        </w:numPr>
        <w:contextualSpacing w:val="0"/>
      </w:pPr>
      <w:r>
        <w:t>Describe the method to be used to collect co-located surface and sub-surface soil samples</w:t>
      </w:r>
    </w:p>
    <w:p w:rsidR="00C4334A" w:rsidRDefault="00C4334A" w:rsidP="008064F7">
      <w:pPr>
        <w:pStyle w:val="ListParagraph"/>
        <w:numPr>
          <w:ilvl w:val="0"/>
          <w:numId w:val="1"/>
        </w:numPr>
        <w:contextualSpacing w:val="0"/>
      </w:pPr>
      <w:r>
        <w:t>Explain how CDM will assume custody of the samples and ship them to a laboratory for testing</w:t>
      </w:r>
    </w:p>
    <w:p w:rsidR="00C4334A" w:rsidRDefault="00C4334A" w:rsidP="008064F7">
      <w:pPr>
        <w:pStyle w:val="ListParagraph"/>
        <w:numPr>
          <w:ilvl w:val="0"/>
          <w:numId w:val="1"/>
        </w:numPr>
        <w:contextualSpacing w:val="0"/>
      </w:pPr>
      <w:r>
        <w:t>Explain what chemical constituents will be analyzed for in each soil sample</w:t>
      </w:r>
    </w:p>
    <w:p w:rsidR="00C4334A" w:rsidRDefault="00C4334A" w:rsidP="008064F7">
      <w:pPr>
        <w:pStyle w:val="ListParagraph"/>
        <w:numPr>
          <w:ilvl w:val="0"/>
          <w:numId w:val="1"/>
        </w:numPr>
        <w:contextualSpacing w:val="0"/>
      </w:pPr>
      <w:r>
        <w:t xml:space="preserve">Discuss the selection of the laboratory to do the analysis </w:t>
      </w:r>
    </w:p>
    <w:p w:rsidR="00C4334A" w:rsidRPr="009206C1" w:rsidRDefault="00C4334A" w:rsidP="008064F7">
      <w:pPr>
        <w:pStyle w:val="ListParagraph"/>
        <w:numPr>
          <w:ilvl w:val="0"/>
          <w:numId w:val="1"/>
        </w:numPr>
        <w:contextualSpacing w:val="0"/>
      </w:pPr>
      <w:r>
        <w:t xml:space="preserve">Explain plans for public outreach for the duration of soil sampling.  </w:t>
      </w:r>
    </w:p>
    <w:p w:rsidR="00C4334A" w:rsidRPr="009206C1" w:rsidRDefault="00C4334A" w:rsidP="009206C1">
      <w:pPr>
        <w:spacing w:before="240" w:after="0"/>
        <w:ind w:left="0" w:firstLine="0"/>
        <w:rPr>
          <w:rFonts w:ascii="High Tower Text" w:hAnsi="High Tower Text"/>
          <w:color w:val="1F497D"/>
          <w:sz w:val="28"/>
          <w:szCs w:val="28"/>
        </w:rPr>
      </w:pPr>
      <w:r w:rsidRPr="009206C1">
        <w:rPr>
          <w:rFonts w:ascii="High Tower Text" w:hAnsi="High Tower Text"/>
          <w:color w:val="1F497D"/>
          <w:sz w:val="28"/>
          <w:szCs w:val="28"/>
        </w:rPr>
        <w:t>Agenda</w:t>
      </w:r>
    </w:p>
    <w:p w:rsidR="00C4334A" w:rsidRDefault="00C4334A" w:rsidP="0024419D">
      <w:pPr>
        <w:ind w:left="0" w:firstLine="0"/>
        <w:jc w:val="both"/>
      </w:pPr>
      <w:r>
        <w:t>Welcome and Introductions                                                                                                               1:00 – 1:15 pm</w:t>
      </w:r>
    </w:p>
    <w:p w:rsidR="00C4334A" w:rsidRPr="0024419D" w:rsidRDefault="00C4334A" w:rsidP="0024419D">
      <w:pPr>
        <w:ind w:left="0" w:firstLine="0"/>
        <w:jc w:val="both"/>
        <w:rPr>
          <w:i/>
        </w:rPr>
      </w:pPr>
      <w:r>
        <w:tab/>
      </w:r>
      <w:r>
        <w:rPr>
          <w:i/>
        </w:rPr>
        <w:t xml:space="preserve">Rick Brausch, DTSC and </w:t>
      </w:r>
      <w:r w:rsidRPr="0024419D">
        <w:rPr>
          <w:i/>
        </w:rPr>
        <w:t>Stephanie Jennings, DOE</w:t>
      </w:r>
    </w:p>
    <w:p w:rsidR="00C4334A" w:rsidRDefault="00C4334A" w:rsidP="0024419D">
      <w:pPr>
        <w:ind w:left="0" w:firstLine="0"/>
        <w:jc w:val="both"/>
      </w:pPr>
      <w:r>
        <w:t>Objectives, Agenda, and Ground Rules for the Workshop                                                            1:15 - 1:30 pm</w:t>
      </w:r>
    </w:p>
    <w:p w:rsidR="00C4334A" w:rsidRPr="0024419D" w:rsidRDefault="00C4334A" w:rsidP="0024419D">
      <w:pPr>
        <w:ind w:left="0" w:firstLine="0"/>
        <w:jc w:val="both"/>
        <w:rPr>
          <w:i/>
        </w:rPr>
      </w:pPr>
      <w:r w:rsidRPr="0024419D">
        <w:rPr>
          <w:i/>
        </w:rPr>
        <w:tab/>
        <w:t>Wendy Lowe, P2 Solutions</w:t>
      </w:r>
    </w:p>
    <w:p w:rsidR="00C4334A" w:rsidRDefault="00C4334A" w:rsidP="0024419D">
      <w:pPr>
        <w:ind w:left="0" w:firstLine="0"/>
        <w:jc w:val="both"/>
      </w:pPr>
      <w:r>
        <w:t>Overview of Approach                                                                                                                         1:30 – 1:40 pm</w:t>
      </w:r>
    </w:p>
    <w:p w:rsidR="00C4334A" w:rsidRDefault="00C4334A">
      <w:pPr>
        <w:ind w:left="0" w:firstLine="720"/>
        <w:jc w:val="both"/>
        <w:rPr>
          <w:i/>
        </w:rPr>
      </w:pPr>
      <w:r>
        <w:rPr>
          <w:i/>
        </w:rPr>
        <w:t>Stephie Jennings, DOE</w:t>
      </w:r>
    </w:p>
    <w:p w:rsidR="00C4334A" w:rsidRDefault="00C4334A" w:rsidP="0024419D">
      <w:pPr>
        <w:ind w:left="0" w:firstLine="0"/>
        <w:jc w:val="both"/>
      </w:pPr>
      <w:r>
        <w:t>Planned Soil Sampling Approach – including Methodology and Locations                               1:40 – 2:15 pm</w:t>
      </w:r>
    </w:p>
    <w:p w:rsidR="00C4334A" w:rsidRPr="0024419D" w:rsidRDefault="00C4334A" w:rsidP="0024419D">
      <w:pPr>
        <w:ind w:left="0" w:firstLine="0"/>
        <w:jc w:val="both"/>
        <w:rPr>
          <w:i/>
        </w:rPr>
      </w:pPr>
      <w:r w:rsidRPr="0024419D">
        <w:rPr>
          <w:i/>
        </w:rPr>
        <w:tab/>
      </w:r>
      <w:r>
        <w:rPr>
          <w:i/>
        </w:rPr>
        <w:t>Mary Aycock</w:t>
      </w:r>
      <w:r w:rsidRPr="0024419D">
        <w:rPr>
          <w:i/>
        </w:rPr>
        <w:t>, EPA</w:t>
      </w:r>
    </w:p>
    <w:p w:rsidR="00C4334A" w:rsidRDefault="00C4334A" w:rsidP="0024419D">
      <w:pPr>
        <w:ind w:left="0" w:firstLine="0"/>
        <w:jc w:val="both"/>
      </w:pPr>
      <w:r>
        <w:t>Planned Soil Sampling Approach—for Chemical Co-located Sampling                                      2:15 – 2:30 pm</w:t>
      </w:r>
    </w:p>
    <w:p w:rsidR="00C4334A" w:rsidRDefault="00C4334A">
      <w:pPr>
        <w:ind w:left="0" w:firstLine="720"/>
        <w:jc w:val="both"/>
        <w:rPr>
          <w:i/>
        </w:rPr>
      </w:pPr>
      <w:r>
        <w:rPr>
          <w:i/>
        </w:rPr>
        <w:t>Laura Rainey, DTSC</w:t>
      </w:r>
    </w:p>
    <w:p w:rsidR="00C4334A" w:rsidRDefault="00C4334A" w:rsidP="00BD6165">
      <w:pPr>
        <w:ind w:left="0" w:firstLine="0"/>
        <w:jc w:val="both"/>
      </w:pPr>
      <w:r>
        <w:t>Laboratory Analysis, Transfer of Custody and Transportation to Laboratory                           2:30 – 3:05 pm</w:t>
      </w:r>
    </w:p>
    <w:p w:rsidR="00C4334A" w:rsidRPr="0024419D" w:rsidRDefault="00C4334A" w:rsidP="0024419D">
      <w:pPr>
        <w:ind w:left="720" w:firstLine="0"/>
        <w:jc w:val="both"/>
        <w:rPr>
          <w:i/>
        </w:rPr>
      </w:pPr>
      <w:r w:rsidRPr="0024419D">
        <w:rPr>
          <w:i/>
        </w:rPr>
        <w:t>John Wondolleck, CDM</w:t>
      </w:r>
    </w:p>
    <w:p w:rsidR="00C4334A" w:rsidRDefault="00C4334A" w:rsidP="0024419D">
      <w:pPr>
        <w:ind w:left="0" w:firstLine="0"/>
        <w:jc w:val="both"/>
      </w:pPr>
      <w:r>
        <w:t>Discussion about Selection of the Laboratory                                                                                 3:05 – 3:45 pm</w:t>
      </w:r>
    </w:p>
    <w:p w:rsidR="00C4334A" w:rsidRPr="0024419D" w:rsidRDefault="00C4334A" w:rsidP="0024419D">
      <w:pPr>
        <w:ind w:left="0" w:firstLine="0"/>
        <w:jc w:val="both"/>
        <w:rPr>
          <w:i/>
        </w:rPr>
      </w:pPr>
      <w:r>
        <w:tab/>
      </w:r>
      <w:r>
        <w:rPr>
          <w:i/>
        </w:rPr>
        <w:t>All</w:t>
      </w:r>
    </w:p>
    <w:p w:rsidR="00C4334A" w:rsidRDefault="00C4334A" w:rsidP="0024419D">
      <w:pPr>
        <w:ind w:left="0" w:firstLine="0"/>
        <w:jc w:val="both"/>
      </w:pPr>
      <w:r>
        <w:t>Closing                                                                                                                                                    3:45 – 4:00 pm</w:t>
      </w:r>
    </w:p>
    <w:p w:rsidR="00C4334A" w:rsidRDefault="00C4334A" w:rsidP="0024419D">
      <w:pPr>
        <w:ind w:left="0" w:firstLine="0"/>
        <w:jc w:val="both"/>
        <w:rPr>
          <w:i/>
        </w:rPr>
      </w:pPr>
      <w:r>
        <w:tab/>
      </w:r>
      <w:r w:rsidRPr="0024419D">
        <w:rPr>
          <w:i/>
        </w:rPr>
        <w:t>Stephanie Jennings, DOE</w:t>
      </w:r>
      <w:r>
        <w:rPr>
          <w:i/>
        </w:rPr>
        <w:t>, and Rick Brausch, DTSC</w:t>
      </w:r>
    </w:p>
    <w:p w:rsidR="00C4334A" w:rsidRPr="0024419D" w:rsidRDefault="00C4334A" w:rsidP="0024419D">
      <w:pPr>
        <w:ind w:left="0" w:firstLine="0"/>
        <w:jc w:val="both"/>
      </w:pPr>
    </w:p>
    <w:sectPr w:rsidR="00C4334A" w:rsidRPr="0024419D" w:rsidSect="00EE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12641"/>
    <w:multiLevelType w:val="hybridMultilevel"/>
    <w:tmpl w:val="367A62B6"/>
    <w:lvl w:ilvl="0" w:tplc="7AAA52F6">
      <w:start w:val="1"/>
      <w:numFmt w:val="bullet"/>
      <w:lvlText w:val="•"/>
      <w:lvlJc w:val="left"/>
      <w:pPr>
        <w:ind w:left="720" w:hanging="360"/>
      </w:pPr>
      <w:rPr>
        <w:rFonts w:ascii="Footlight MT Light" w:eastAsia="Arial Unicode MS" w:hAnsi="Footlight MT Ligh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015"/>
    <w:rsid w:val="00044CE2"/>
    <w:rsid w:val="000952AF"/>
    <w:rsid w:val="00196A91"/>
    <w:rsid w:val="0024419D"/>
    <w:rsid w:val="003A2250"/>
    <w:rsid w:val="003B0B1E"/>
    <w:rsid w:val="00465319"/>
    <w:rsid w:val="005477CE"/>
    <w:rsid w:val="005D2D27"/>
    <w:rsid w:val="0062004D"/>
    <w:rsid w:val="006F7893"/>
    <w:rsid w:val="00701267"/>
    <w:rsid w:val="00751846"/>
    <w:rsid w:val="007A439A"/>
    <w:rsid w:val="007B5811"/>
    <w:rsid w:val="008064F7"/>
    <w:rsid w:val="009206C1"/>
    <w:rsid w:val="009E40E3"/>
    <w:rsid w:val="00B3710C"/>
    <w:rsid w:val="00BD1963"/>
    <w:rsid w:val="00BD6165"/>
    <w:rsid w:val="00C4334A"/>
    <w:rsid w:val="00CB1EF4"/>
    <w:rsid w:val="00D36FB7"/>
    <w:rsid w:val="00E37A3A"/>
    <w:rsid w:val="00EE2015"/>
    <w:rsid w:val="00FA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AF"/>
    <w:pPr>
      <w:spacing w:before="100" w:after="100"/>
      <w:ind w:left="1800" w:hanging="36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D61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1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D61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1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Workshop:  Co-located Chemical Sampling Agreement in Principle </dc:title>
  <dc:subject/>
  <dc:creator>Wendy Green Lowe</dc:creator>
  <cp:keywords/>
  <dc:description/>
  <cp:lastModifiedBy>eXCITE</cp:lastModifiedBy>
  <cp:revision>2</cp:revision>
  <cp:lastPrinted>2010-10-11T20:47:00Z</cp:lastPrinted>
  <dcterms:created xsi:type="dcterms:W3CDTF">2010-10-11T21:03:00Z</dcterms:created>
  <dcterms:modified xsi:type="dcterms:W3CDTF">2010-10-11T21:03:00Z</dcterms:modified>
</cp:coreProperties>
</file>